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6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 Закону Оренбургской области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«Об областном бюджете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</w:p>
    <w:p w:rsidR="00FE5E8E" w:rsidRDefault="00996C3E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годов»</w:t>
      </w:r>
    </w:p>
    <w:p w:rsidR="00AF2D06" w:rsidRPr="00AF2D06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от 14 декабря 2023 года</w:t>
      </w:r>
    </w:p>
    <w:p w:rsidR="00FE5E8E" w:rsidRDefault="00AF2D06" w:rsidP="00AF2D06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AF2D06">
        <w:rPr>
          <w:rFonts w:ascii="Times New Roman" w:hAnsi="Times New Roman"/>
          <w:color w:val="000000"/>
          <w:sz w:val="28"/>
          <w:szCs w:val="28"/>
        </w:rPr>
        <w:t>№ 993/400-VII-ОЗ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(в редакции Закона Оренбургской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 xml:space="preserve">области «О внесении изменений в 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Закон Оренбургской области</w:t>
      </w:r>
    </w:p>
    <w:p w:rsidR="0040302C" w:rsidRP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«Об областном бюджете на 2024 год</w:t>
      </w:r>
    </w:p>
    <w:p w:rsidR="0040302C" w:rsidRDefault="0040302C" w:rsidP="0040302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40302C">
        <w:rPr>
          <w:rFonts w:ascii="Times New Roman" w:hAnsi="Times New Roman"/>
          <w:color w:val="000000"/>
          <w:sz w:val="28"/>
          <w:szCs w:val="28"/>
        </w:rPr>
        <w:t>и на плановый период 2025 и 2026 годов»</w:t>
      </w:r>
    </w:p>
    <w:p w:rsidR="00D43BBC" w:rsidRPr="00D43BBC" w:rsidRDefault="00D43BBC" w:rsidP="00D43BB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D43BBC">
        <w:rPr>
          <w:rFonts w:ascii="Times New Roman" w:hAnsi="Times New Roman"/>
          <w:color w:val="000000"/>
          <w:sz w:val="28"/>
          <w:szCs w:val="28"/>
        </w:rPr>
        <w:t xml:space="preserve">от 18 сентября 2024 года </w:t>
      </w:r>
    </w:p>
    <w:p w:rsidR="00873E34" w:rsidRPr="0040302C" w:rsidRDefault="00D43BBC" w:rsidP="00D43BBC">
      <w:pPr>
        <w:spacing w:after="0" w:line="240" w:lineRule="auto"/>
        <w:ind w:left="3540" w:firstLine="708"/>
        <w:rPr>
          <w:rFonts w:ascii="Times New Roman" w:hAnsi="Times New Roman"/>
          <w:color w:val="000000"/>
          <w:sz w:val="28"/>
          <w:szCs w:val="28"/>
        </w:rPr>
      </w:pPr>
      <w:r w:rsidRPr="00D43BBC">
        <w:rPr>
          <w:rFonts w:ascii="Times New Roman" w:hAnsi="Times New Roman"/>
          <w:color w:val="000000"/>
          <w:sz w:val="28"/>
          <w:szCs w:val="28"/>
        </w:rPr>
        <w:t>№ 1197/497-VII-ОЗ)</w:t>
      </w:r>
      <w:bookmarkStart w:id="0" w:name="_GoBack"/>
      <w:bookmarkEnd w:id="0"/>
    </w:p>
    <w:p w:rsidR="00FE5E8E" w:rsidRDefault="00FE5E8E">
      <w:pPr>
        <w:pStyle w:val="a3"/>
        <w:ind w:right="-1"/>
        <w:jc w:val="both"/>
        <w:rPr>
          <w:color w:val="000000"/>
          <w:szCs w:val="28"/>
        </w:rPr>
      </w:pPr>
    </w:p>
    <w:p w:rsidR="00D26EAC" w:rsidRDefault="00D26EAC">
      <w:pPr>
        <w:pStyle w:val="a3"/>
        <w:ind w:right="-1"/>
        <w:jc w:val="both"/>
        <w:rPr>
          <w:color w:val="000000"/>
          <w:szCs w:val="28"/>
        </w:rPr>
      </w:pP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Направления государственной поддержки семьи и детей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Оренбургской области («Детский бюджет») </w:t>
      </w:r>
    </w:p>
    <w:p w:rsidR="00FE5E8E" w:rsidRDefault="00996C3E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</w:p>
    <w:p w:rsidR="00FE5E8E" w:rsidRDefault="00FE5E8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«Детский бюджет» – это аккумулированный в областном бюджете объем бюджетных ассигнований на реализацию комплекса мероприятий по созданию благоприятных условий для каждого ребенка в Оренбургской области по его воспитанию, общему, дополнительному и профессиональному образованию, по использованию возможности для занятий спортом, по получению услуг в области здравоохранения, социального обслуживания детей, организации детского отдыха и оздоровления детей, временного трудоустройства несовершеннолетних. 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Система государственных финансов направлена на поддержку семьи, рождаемости, развитие подрастающего поколения. Применяется комплекс методов для содействия семьям с детьми, включая бесплатность и доступность образования, охрану здоровья матери и ребенка, жилищные и транспортные льготы, выплаты пособий и компенсаций.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Распределение бюджетных ассигнований, направляемых на государственную поддержку семьи и детей в Оренбургской области («Детский бюджет»),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представлено в таблице 1.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Государственная поддержка семьи и детей в Оренбургской области также осуществляется путем предоставления налоговых льгот и налоговых вычетов, что позволяет облегчить бремя налоговых обязательств.</w:t>
      </w:r>
    </w:p>
    <w:p w:rsidR="00FE5E8E" w:rsidRDefault="00996C3E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8"/>
          <w:szCs w:val="28"/>
        </w:rPr>
        <w:t>Налоговые льготы по транспортному налогу и налоговые вычеты по налогу на доходы физических лиц, предоставляемые в рамках государственной поддержки семьи и детей в Оренбургской области, на 202</w:t>
      </w:r>
      <w:r w:rsidR="00A27CF7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 год и на плановый период 202</w:t>
      </w:r>
      <w:r w:rsidR="00A27CF7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A27CF7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годов представлены в таблице 2.</w:t>
      </w:r>
    </w:p>
    <w:p w:rsidR="00FE5E8E" w:rsidRDefault="00FE5E8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FE5E8E" w:rsidSect="000D05FE">
          <w:headerReference w:type="default" r:id="rId7"/>
          <w:pgSz w:w="11906" w:h="16838"/>
          <w:pgMar w:top="1134" w:right="851" w:bottom="1134" w:left="1701" w:header="709" w:footer="709" w:gutter="0"/>
          <w:cols w:space="720"/>
          <w:titlePg/>
        </w:sectPr>
      </w:pP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Таблица 1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приложения 6</w:t>
      </w:r>
    </w:p>
    <w:p w:rsidR="00FE5E8E" w:rsidRDefault="00FE5E8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Распределение бюджетных ассигнований, направляемых на государственную</w:t>
      </w:r>
    </w:p>
    <w:p w:rsidR="00FE5E8E" w:rsidRDefault="00996C3E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поддержку семьи и детей в Оренбургской области («Детский бюджет»),</w:t>
      </w:r>
    </w:p>
    <w:p w:rsidR="00FE5E8E" w:rsidRDefault="00996C3E">
      <w:pPr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A27CF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FE5E8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Pr="00D248D6" w:rsidRDefault="00FE5E8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"/>
          <w:szCs w:val="2"/>
          <w:lang w:eastAsia="ru-RU"/>
        </w:rPr>
      </w:pPr>
    </w:p>
    <w:tbl>
      <w:tblPr>
        <w:tblW w:w="15021" w:type="dxa"/>
        <w:tblLook w:val="04A0" w:firstRow="1" w:lastRow="0" w:firstColumn="1" w:lastColumn="0" w:noHBand="0" w:noVBand="1"/>
      </w:tblPr>
      <w:tblGrid>
        <w:gridCol w:w="6280"/>
        <w:gridCol w:w="3213"/>
        <w:gridCol w:w="1842"/>
        <w:gridCol w:w="1843"/>
        <w:gridCol w:w="1843"/>
      </w:tblGrid>
      <w:tr w:rsidR="009D728A" w:rsidRPr="009A157D" w:rsidTr="00B80944">
        <w:trPr>
          <w:trHeight w:val="375"/>
          <w:tblHeader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bookmarkStart w:id="1" w:name="RANGE!A10:F58"/>
            <w:r w:rsidRPr="009A157D">
              <w:t>Наименование мероприятия (ЦСР)</w:t>
            </w:r>
            <w:bookmarkEnd w:id="1"/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ЦСР (код ЦСР)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728A" w:rsidRPr="009A157D" w:rsidRDefault="009D728A" w:rsidP="009D728A">
            <w:pPr>
              <w:pStyle w:val="a3"/>
              <w:jc w:val="center"/>
            </w:pPr>
            <w:r w:rsidRPr="009A157D">
              <w:t>2026 год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32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346 945,9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322 890,9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326 544,2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профилактических мероприятий»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11 055,0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медицинской помощи детям»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268 306,0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271 959,3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полноценным питанием беременных женщин, кормящих матерей, а также детей в возрасте до трех лет»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01 4 12 00000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54 584,9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39 724 486,3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34 491 814,4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33 124 986,6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72 331,7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«Современная школа»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4 192 046,6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«Успех каждого ребенка»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185 408,3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«Цифровая образовательная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E4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162 932,4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1 Y4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301 413,1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профессионального образования»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4 490 798,3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3 739 724,7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3 454 719,3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6 927 476,1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6 545 613,2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20 186 310,7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21 019 204,5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20 685 490,8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2 455 473,1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2 320 918,8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«Молодежная политика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02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749 696,0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865 753,2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117 644,5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«Социальная поддержка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9 012 628,8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7 416 839,6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6 739 531,7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Региональный проект «Финансовая поддержка семей при рождении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1 P1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1 870 637,4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266 140,8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государственной поддержки семей, имеющих детей»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6 695 533,4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6 667 823,2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6 256 656,1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«Организация отдыха детей и их оздоровления»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03 4 06 00000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446 458,0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482 875,6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«Доступная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58 201,0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дополнительных мер социальной поддержки отдельных категорий граждан, проживающих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57 321,0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F577C2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Комплекс процессных мероприятий 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Создание универсальной </w:t>
            </w:r>
            <w:proofErr w:type="spellStart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среды для инклюзивного образования детей-инвалидов</w:t>
            </w:r>
            <w:r w:rsidR="00F577C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04 4 04 00000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880,0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«Содействие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8 044,0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«Реализация политики занятости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07 4 01 00000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8 044,0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7 481,5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481 344,9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116 635,2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111 659,9</w:t>
            </w: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«Культурная среда»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1 A1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325 208,5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«Развитие библиотечного дела»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47 543,2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46 934,2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47 098,0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«Сохранение и развитие исполнительских искусств»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101 631,4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60 159,9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«Культура малой Родины»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 5 П3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6 961,8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9 541,1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4 402,0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136 945,1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спорта высших достижений и системы подготовки спортивного резерва»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14 4 05 00000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15 083,9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120 053,2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«Интеграция общего и дополнительного образования физкультурно-спортивной направленности в развитие физического воспитания и детско-юношеского спорта»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14 4 09 00000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1 808,0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«Обеспечение доступности пассажирских перевозок для населения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10 400,0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«Реализация региональной политики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234 960,0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«Поддержка реализации программ перспективного развития муниципальных образований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20 4 08 00000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234 960,0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«Профилактика терроризма и экстремизма на территории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21 0 00 00000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263 813,9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187 843,6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162 265,5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мероприятий по соблюдению требований антитеррористической безопасности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205 873,4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152 060,8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«Проведение лекций, бесед и других мероприятий, направленных на профилактику терроризма и распространения его идеологии»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165,0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«Проведение этнокультурных мероприятий в государственных организациях и учреждениях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21 4 04 00000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345,0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в образовательных организациях муниципальных образований требований к антитеррористической защищенности объектов (территорий)»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21 4 06 00000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50 000,0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Приоритетный проект «Модернизация школьных систем образования (Оренбургская область)»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 5 ПБ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7 430,5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35 272,8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9 694,7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23 0 00 00000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«Обеспечение жильем молодых семей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23 4 07 00000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556 898,3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374 031,4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«Патриотическое воспитание и допризывная подготовка граждан в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25 0 00 00000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193 858,2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156 100,8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183 940,6</w:t>
            </w: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1 EВ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163 081,7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133 324,3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161 164,1</w:t>
            </w:r>
          </w:p>
        </w:tc>
      </w:tr>
      <w:tr w:rsidR="00B80944" w:rsidRPr="00B80944" w:rsidTr="00B80944">
        <w:trPr>
          <w:trHeight w:val="18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Комплекс процессных мероприятий «Военно-патриотическое воспитание и допризывная подготовка граждан (молодежи), развитие практики шефства воинских частей над образовательными организациями»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25 4 01 00000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15 444,5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«Совершенствование форм и методов работы по патриотическому воспитанию граждан»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25 4 02 00000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5 350,0</w:t>
            </w:r>
          </w:p>
        </w:tc>
      </w:tr>
      <w:tr w:rsidR="00B80944" w:rsidRPr="00B80944" w:rsidTr="00B80944">
        <w:trPr>
          <w:trHeight w:val="150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Комплекс процессных мероприятий «Развитие волонтерского движения как важного элемента системы патриотического воспитания молодежи»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25 4 03 00000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1 982,0</w:t>
            </w:r>
          </w:p>
        </w:tc>
      </w:tr>
      <w:tr w:rsidR="00B80944" w:rsidRPr="00B80944" w:rsidTr="00B80944">
        <w:trPr>
          <w:trHeight w:val="112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27 0 00 00000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750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Региональный проект «Современный облик сельских территорий»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27 2 03 00000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80 774,4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46 048,5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80944" w:rsidRPr="00B80944" w:rsidTr="00B80944">
        <w:trPr>
          <w:trHeight w:val="375"/>
        </w:trPr>
        <w:tc>
          <w:tcPr>
            <w:tcW w:w="6280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РАСХОДОВ</w:t>
            </w:r>
          </w:p>
        </w:tc>
        <w:tc>
          <w:tcPr>
            <w:tcW w:w="321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51 109 300,8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43 190 094,9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B80944" w:rsidRPr="00B80944" w:rsidRDefault="00B80944" w:rsidP="00B80944">
            <w:pPr>
              <w:autoSpaceDN/>
              <w:spacing w:after="0" w:line="240" w:lineRule="auto"/>
              <w:jc w:val="right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80944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41 100 850,4</w:t>
            </w:r>
          </w:p>
        </w:tc>
      </w:tr>
    </w:tbl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60AA6" w:rsidRDefault="00960AA6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C11D7" w:rsidRDefault="000C11D7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Таблица 2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приложения 6</w:t>
      </w:r>
    </w:p>
    <w:p w:rsidR="006F5253" w:rsidRDefault="006F5253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Налоговые льготы по транспортному налогу и налоговые вычеты по налогу на доходы физических лиц,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предоставляемые в рамках государственной поддержки семьи и детей в Оренбургской области,</w:t>
      </w:r>
    </w:p>
    <w:p w:rsidR="00996C3E" w:rsidRDefault="00996C3E" w:rsidP="00996C3E">
      <w:pPr>
        <w:spacing w:after="0" w:line="240" w:lineRule="auto"/>
        <w:ind w:right="60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и 202</w:t>
      </w:r>
      <w:r w:rsidR="00F05FA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годов</w:t>
      </w:r>
    </w:p>
    <w:p w:rsidR="00996C3E" w:rsidRDefault="00996C3E">
      <w:pPr>
        <w:spacing w:after="0" w:line="240" w:lineRule="auto"/>
        <w:ind w:right="-422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(тыс. рублей)</w:t>
      </w:r>
    </w:p>
    <w:p w:rsidR="00FE5E8E" w:rsidRDefault="00FE5E8E">
      <w:pPr>
        <w:spacing w:after="0" w:line="240" w:lineRule="auto"/>
        <w:rPr>
          <w:color w:val="000000"/>
          <w:sz w:val="2"/>
          <w:szCs w:val="2"/>
        </w:rPr>
      </w:pPr>
    </w:p>
    <w:p w:rsidR="00FE5E8E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p w:rsidR="00FE5E8E" w:rsidRPr="006F5253" w:rsidRDefault="00FE5E8E">
      <w:pPr>
        <w:spacing w:after="0" w:line="240" w:lineRule="auto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15160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0C11D7" w:rsidRPr="00A120F4" w:rsidTr="000D0ADB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Содержание государственной поддержки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налогопла-тельщиков</w:t>
            </w:r>
            <w:proofErr w:type="spell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Сумма налоговых льгот,</w:t>
            </w:r>
          </w:p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налоговых вычетов</w:t>
            </w:r>
          </w:p>
        </w:tc>
      </w:tr>
      <w:tr w:rsidR="000C11D7" w:rsidRPr="00A120F4" w:rsidTr="000D0ADB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0C11D7" w:rsidRPr="00A120F4" w:rsidRDefault="000C11D7" w:rsidP="000C11D7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1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2"/>
        <w:gridCol w:w="1730"/>
        <w:gridCol w:w="1560"/>
        <w:gridCol w:w="1560"/>
        <w:gridCol w:w="1553"/>
      </w:tblGrid>
      <w:tr w:rsidR="000C11D7" w:rsidRPr="00A120F4" w:rsidTr="000D0ADB">
        <w:trPr>
          <w:cantSplit/>
          <w:trHeight w:val="285"/>
          <w:tblHeader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C11D7" w:rsidRPr="00A120F4" w:rsidTr="000D0ADB">
        <w:trPr>
          <w:cantSplit/>
          <w:trHeight w:val="285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Льгота по транспортному налогу</w:t>
            </w:r>
          </w:p>
        </w:tc>
      </w:tr>
      <w:tr w:rsidR="000C11D7" w:rsidRPr="00A120F4" w:rsidTr="000C11D7">
        <w:trPr>
          <w:cantSplit/>
          <w:trHeight w:val="669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7FF5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17FF5">
              <w:rPr>
                <w:rFonts w:ascii="Times New Roman" w:hAnsi="Times New Roman"/>
                <w:color w:val="000000"/>
                <w:sz w:val="28"/>
                <w:szCs w:val="28"/>
              </w:rPr>
              <w:t>Один из родителей (усыновителей), попечителей, опекунов, приемных родителей многодетной семьи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40 544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8477E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E30E3">
              <w:rPr>
                <w:rFonts w:ascii="Times New Roman" w:hAnsi="Times New Roman"/>
                <w:sz w:val="28"/>
                <w:szCs w:val="28"/>
              </w:rPr>
              <w:t>40 544,0</w:t>
            </w:r>
          </w:p>
        </w:tc>
      </w:tr>
      <w:tr w:rsidR="000C11D7" w:rsidRPr="00A120F4" w:rsidTr="000D0ADB">
        <w:trPr>
          <w:cantSplit/>
          <w:trHeight w:val="362"/>
        </w:trPr>
        <w:tc>
          <w:tcPr>
            <w:tcW w:w="8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A17FF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7FF5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11 278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40 544</w:t>
            </w:r>
            <w:r w:rsidRPr="00A17FF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8349FD" w:rsidRDefault="000C11D7" w:rsidP="000D0AD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E30E3">
              <w:rPr>
                <w:rFonts w:ascii="Times New Roman" w:hAnsi="Times New Roman"/>
                <w:b/>
                <w:sz w:val="28"/>
                <w:szCs w:val="28"/>
              </w:rPr>
              <w:t>40 544,0</w:t>
            </w:r>
          </w:p>
        </w:tc>
      </w:tr>
      <w:tr w:rsidR="000C11D7" w:rsidRPr="00A120F4" w:rsidTr="000C11D7">
        <w:trPr>
          <w:cantSplit/>
          <w:trHeight w:val="329"/>
        </w:trPr>
        <w:tc>
          <w:tcPr>
            <w:tcW w:w="15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A120F4" w:rsidRDefault="000C11D7" w:rsidP="000D0A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en-US" w:eastAsia="ru-RU"/>
              </w:rPr>
              <w:t>II</w:t>
            </w:r>
            <w:r w:rsidRPr="00A120F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. Доходы и налоговые вычеты по налогу на доходы физических лиц</w:t>
            </w:r>
            <w:r w:rsidRPr="00A120F4">
              <w:rPr>
                <w:b/>
              </w:rPr>
              <w:br w:type="page"/>
            </w:r>
            <w:r w:rsidRPr="00A120F4">
              <w:rPr>
                <w:b/>
              </w:rPr>
              <w:br w:type="page"/>
            </w:r>
          </w:p>
        </w:tc>
      </w:tr>
      <w:tr w:rsidR="000C11D7" w:rsidRPr="00A120F4" w:rsidTr="000C11D7">
        <w:trPr>
          <w:cantSplit/>
          <w:trHeight w:val="83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670C">
              <w:rPr>
                <w:rFonts w:ascii="Times New Roman" w:hAnsi="Times New Roman"/>
                <w:sz w:val="28"/>
                <w:szCs w:val="28"/>
              </w:rPr>
              <w:t>4 015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117 644,6</w:t>
            </w:r>
          </w:p>
        </w:tc>
      </w:tr>
      <w:tr w:rsidR="000C11D7" w:rsidRPr="00A120F4" w:rsidTr="000C11D7">
        <w:trPr>
          <w:cantSplit/>
          <w:trHeight w:val="128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178 171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1 917 603,6</w:t>
            </w:r>
          </w:p>
        </w:tc>
      </w:tr>
      <w:tr w:rsidR="000C11D7" w:rsidRPr="00A120F4" w:rsidTr="000D0ADB">
        <w:trPr>
          <w:cantSplit/>
          <w:trHeight w:val="12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127 367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1 399 495,1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32 253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922 963,2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2 852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239 605,8</w:t>
            </w:r>
          </w:p>
        </w:tc>
      </w:tr>
      <w:tr w:rsidR="000C11D7" w:rsidRPr="00A120F4" w:rsidTr="000C11D7">
        <w:trPr>
          <w:cantSplit/>
          <w:trHeight w:val="137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529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6 121,9</w:t>
            </w:r>
          </w:p>
        </w:tc>
      </w:tr>
      <w:tr w:rsidR="000C11D7" w:rsidRPr="00A120F4" w:rsidTr="000C11D7">
        <w:trPr>
          <w:cantSplit/>
          <w:trHeight w:val="1452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4 778,0</w:t>
            </w:r>
          </w:p>
        </w:tc>
      </w:tr>
      <w:tr w:rsidR="000C11D7" w:rsidRPr="00A120F4" w:rsidTr="000D0ADB">
        <w:trPr>
          <w:cantSplit/>
          <w:trHeight w:val="77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422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17 812,4</w:t>
            </w:r>
          </w:p>
        </w:tc>
      </w:tr>
      <w:tr w:rsidR="000C11D7" w:rsidRPr="00A120F4" w:rsidTr="000C11D7">
        <w:trPr>
          <w:cantSplit/>
          <w:trHeight w:val="149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5 150,6</w:t>
            </w:r>
          </w:p>
        </w:tc>
      </w:tr>
      <w:tr w:rsidR="000C11D7" w:rsidRPr="00A120F4" w:rsidTr="000C11D7">
        <w:trPr>
          <w:cantSplit/>
          <w:trHeight w:val="115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5 888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137 009,4</w:t>
            </w:r>
          </w:p>
        </w:tc>
      </w:tr>
      <w:tr w:rsidR="000C11D7" w:rsidRPr="00A120F4" w:rsidTr="000C11D7">
        <w:trPr>
          <w:cantSplit/>
          <w:trHeight w:val="112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12 012,1</w:t>
            </w:r>
          </w:p>
        </w:tc>
      </w:tr>
      <w:tr w:rsidR="000C11D7" w:rsidRPr="00A120F4" w:rsidTr="000C11D7">
        <w:trPr>
          <w:cantSplit/>
          <w:trHeight w:val="96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2 286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55 097,7</w:t>
            </w:r>
          </w:p>
        </w:tc>
      </w:tr>
      <w:tr w:rsidR="000C11D7" w:rsidRPr="00A120F4" w:rsidTr="000C11D7">
        <w:trPr>
          <w:cantSplit/>
          <w:trHeight w:val="107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204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5 012,9</w:t>
            </w:r>
          </w:p>
        </w:tc>
      </w:tr>
      <w:tr w:rsidR="000C11D7" w:rsidRPr="00A120F4" w:rsidTr="000D0ADB">
        <w:trPr>
          <w:cantSplit/>
          <w:trHeight w:val="135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692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44 023,2</w:t>
            </w:r>
          </w:p>
        </w:tc>
      </w:tr>
      <w:tr w:rsidR="000C11D7" w:rsidRPr="00A120F4" w:rsidTr="000C11D7">
        <w:trPr>
          <w:cantSplit/>
          <w:trHeight w:val="107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8 892,8</w:t>
            </w:r>
          </w:p>
        </w:tc>
      </w:tr>
      <w:tr w:rsidR="000C11D7" w:rsidRPr="00A120F4" w:rsidTr="000C11D7">
        <w:trPr>
          <w:cantSplit/>
          <w:trHeight w:val="1213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12 972,3</w:t>
            </w:r>
          </w:p>
        </w:tc>
      </w:tr>
      <w:tr w:rsidR="000C11D7" w:rsidRPr="00A120F4" w:rsidTr="000C11D7">
        <w:trPr>
          <w:cantSplit/>
          <w:trHeight w:val="118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2 722,0</w:t>
            </w:r>
          </w:p>
        </w:tc>
      </w:tr>
      <w:tr w:rsidR="000C11D7" w:rsidRPr="00A120F4" w:rsidTr="000C11D7">
        <w:trPr>
          <w:cantSplit/>
          <w:trHeight w:val="1448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1 831,8</w:t>
            </w:r>
          </w:p>
        </w:tc>
      </w:tr>
      <w:tr w:rsidR="000C11D7" w:rsidRPr="00A120F4" w:rsidTr="000C11D7">
        <w:trPr>
          <w:cantSplit/>
          <w:trHeight w:val="138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418,8</w:t>
            </w:r>
          </w:p>
        </w:tc>
      </w:tr>
      <w:tr w:rsidR="000C11D7" w:rsidRPr="00BA78BD" w:rsidTr="000C11D7">
        <w:trPr>
          <w:cantSplit/>
          <w:trHeight w:val="147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1 322,2</w:t>
            </w:r>
          </w:p>
        </w:tc>
      </w:tr>
      <w:tr w:rsidR="000C11D7" w:rsidRPr="00A120F4" w:rsidTr="000D0ADB">
        <w:trPr>
          <w:cantSplit/>
          <w:trHeight w:val="1711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</w:tr>
      <w:tr w:rsidR="000C11D7" w:rsidRPr="00A120F4" w:rsidTr="000C11D7">
        <w:trPr>
          <w:cantSplit/>
          <w:trHeight w:val="135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1 956,0</w:t>
            </w:r>
          </w:p>
        </w:tc>
      </w:tr>
      <w:tr w:rsidR="000C11D7" w:rsidRPr="00A120F4" w:rsidTr="000C11D7">
        <w:trPr>
          <w:cantSplit/>
          <w:trHeight w:val="157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427,7</w:t>
            </w:r>
          </w:p>
        </w:tc>
      </w:tr>
      <w:tr w:rsidR="000C11D7" w:rsidRPr="00A120F4" w:rsidTr="000C11D7">
        <w:trPr>
          <w:cantSplit/>
          <w:trHeight w:val="1205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1 498,7</w:t>
            </w:r>
          </w:p>
        </w:tc>
      </w:tr>
      <w:tr w:rsidR="000C11D7" w:rsidRPr="00A120F4" w:rsidTr="000C11D7">
        <w:trPr>
          <w:cantSplit/>
          <w:trHeight w:val="114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 двойном размере 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группы, одному из приемных родителей по их выбору на основании заявления об отказе одного из приемных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631,3</w:t>
            </w:r>
          </w:p>
        </w:tc>
      </w:tr>
      <w:tr w:rsidR="000C11D7" w:rsidRPr="00A120F4" w:rsidTr="000D0ADB">
        <w:trPr>
          <w:cantSplit/>
          <w:trHeight w:val="2136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F577C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Сумма, уплаченная налогоплательщиком в налоговом периоде за свое обучение в образовательных учреждениях, за обучение брата (сестры) в возрасте до 24 лет по очной форме обучения в образовательных учреждениях 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 с учетом ограничения, установленного пунктом 2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1 375,9</w:t>
            </w:r>
          </w:p>
        </w:tc>
      </w:tr>
      <w:tr w:rsidR="000C11D7" w:rsidRPr="00A120F4" w:rsidTr="000C11D7">
        <w:trPr>
          <w:cantSplit/>
          <w:trHeight w:val="2914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Сумма, уплаченная налогоплательщиком-родителем за обучение своих детей в возрасте до 24 лет, налогоплательщиком-опекуном (налогоплательщиком-попечителем) за обучение своих подопечных в возрасте до 18 лет по очной форме обучения в образовательных учреждениях, налогоплательщиком, осуществляющим обязанности опекуна или попечителя над гражданами, бывшими их подопечными, после прекращения опеки или попечительства в случаях оплаты налогоплательщиком обучения граждан в возрасте до 24 лет по очной форме обучения</w:t>
            </w:r>
            <w:r w:rsidR="00F577C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образовательных учреждениях –</w:t>
            </w: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размере фактически произведенных расходов на обучение, но с учетом ограничения, установленного подпунктом 2 пункта 1 статьи 219 Налогового кодекса Российской Федерации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2 294,4</w:t>
            </w:r>
          </w:p>
        </w:tc>
      </w:tr>
      <w:tr w:rsidR="000C11D7" w:rsidRPr="00A120F4" w:rsidTr="000C11D7">
        <w:trPr>
          <w:cantSplit/>
          <w:trHeight w:val="780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D0AD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color w:val="000000"/>
                <w:sz w:val="28"/>
                <w:szCs w:val="28"/>
              </w:rPr>
              <w:t>Вычет из суммы единовременной материальной помощи, оказываемой работодателями работникам (родителям, усыновителям, опекунам) при рождении (усыновлении (удочерении)) ребенка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36169">
              <w:rPr>
                <w:rFonts w:ascii="Times New Roman" w:hAnsi="Times New Roman"/>
                <w:sz w:val="28"/>
                <w:szCs w:val="28"/>
              </w:rPr>
              <w:t>3 943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1511E" w:rsidRDefault="000C11D7" w:rsidP="000D0A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1511E">
              <w:rPr>
                <w:rFonts w:ascii="Times New Roman" w:hAnsi="Times New Roman"/>
                <w:sz w:val="28"/>
                <w:szCs w:val="28"/>
              </w:rPr>
              <w:t>71 543,4</w:t>
            </w:r>
          </w:p>
        </w:tc>
      </w:tr>
      <w:tr w:rsidR="000C11D7" w:rsidRPr="00EE4FCB" w:rsidTr="000C11D7">
        <w:trPr>
          <w:cantSplit/>
          <w:trHeight w:val="369"/>
        </w:trPr>
        <w:tc>
          <w:tcPr>
            <w:tcW w:w="8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DE521F" w:rsidRDefault="000C11D7" w:rsidP="000C11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E521F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33670C">
              <w:rPr>
                <w:rFonts w:ascii="Times New Roman" w:hAnsi="Times New Roman"/>
                <w:b/>
                <w:sz w:val="28"/>
                <w:szCs w:val="28"/>
              </w:rPr>
              <w:t>360 173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11D7" w:rsidRPr="00A36169" w:rsidRDefault="000C11D7" w:rsidP="000C11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4 992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 w:rsidRPr="00A36169">
              <w:rPr>
                <w:rFonts w:ascii="Times New Roman" w:hAnsi="Times New Roman"/>
                <w:b/>
                <w:sz w:val="28"/>
                <w:szCs w:val="28"/>
              </w:rPr>
              <w:t>410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</w:tr>
    </w:tbl>
    <w:p w:rsidR="006F5253" w:rsidRDefault="006F5253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sectPr w:rsidR="006F5253">
      <w:headerReference w:type="default" r:id="rId8"/>
      <w:pgSz w:w="16838" w:h="11906" w:orient="landscape"/>
      <w:pgMar w:top="1134" w:right="1134" w:bottom="851" w:left="1134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9F3" w:rsidRDefault="009359F3">
      <w:pPr>
        <w:spacing w:after="0" w:line="240" w:lineRule="auto"/>
      </w:pPr>
      <w:r>
        <w:separator/>
      </w:r>
    </w:p>
  </w:endnote>
  <w:endnote w:type="continuationSeparator" w:id="0">
    <w:p w:rsidR="009359F3" w:rsidRDefault="00935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9F3" w:rsidRDefault="009359F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359F3" w:rsidRDefault="00935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40302C">
      <w:rPr>
        <w:rFonts w:ascii="Times New Roman" w:hAnsi="Times New Roman"/>
        <w:noProof/>
        <w:sz w:val="24"/>
        <w:szCs w:val="24"/>
      </w:rPr>
      <w:t>3</w:t>
    </w:r>
    <w:r>
      <w:rPr>
        <w:rFonts w:ascii="Times New Roman" w:hAnsi="Times New Roman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ADB" w:rsidRDefault="000D0ADB">
    <w:pPr>
      <w:pStyle w:val="a7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 xml:space="preserve"> PAGE </w:instrText>
    </w:r>
    <w:r>
      <w:rPr>
        <w:rFonts w:ascii="Times New Roman" w:hAnsi="Times New Roman"/>
        <w:sz w:val="24"/>
        <w:szCs w:val="24"/>
      </w:rPr>
      <w:fldChar w:fldCharType="separate"/>
    </w:r>
    <w:r w:rsidR="00D43BBC">
      <w:rPr>
        <w:rFonts w:ascii="Times New Roman" w:hAnsi="Times New Roman"/>
        <w:noProof/>
        <w:sz w:val="24"/>
        <w:szCs w:val="24"/>
      </w:rPr>
      <w:t>14</w:t>
    </w:r>
    <w:r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E"/>
    <w:rsid w:val="00015698"/>
    <w:rsid w:val="000B2CF8"/>
    <w:rsid w:val="000C11D7"/>
    <w:rsid w:val="000D05FE"/>
    <w:rsid w:val="000D0ADB"/>
    <w:rsid w:val="000D11F2"/>
    <w:rsid w:val="001730A3"/>
    <w:rsid w:val="001E3524"/>
    <w:rsid w:val="001F42C9"/>
    <w:rsid w:val="002A39C6"/>
    <w:rsid w:val="00366DD6"/>
    <w:rsid w:val="0040302C"/>
    <w:rsid w:val="00482780"/>
    <w:rsid w:val="00497B4A"/>
    <w:rsid w:val="006077DF"/>
    <w:rsid w:val="006B1DB3"/>
    <w:rsid w:val="006F5253"/>
    <w:rsid w:val="007F3295"/>
    <w:rsid w:val="007F7D28"/>
    <w:rsid w:val="00817978"/>
    <w:rsid w:val="00873E34"/>
    <w:rsid w:val="009359F3"/>
    <w:rsid w:val="00960AA6"/>
    <w:rsid w:val="00996C3E"/>
    <w:rsid w:val="009D728A"/>
    <w:rsid w:val="00A16454"/>
    <w:rsid w:val="00A27CF7"/>
    <w:rsid w:val="00A3048F"/>
    <w:rsid w:val="00AE7BDD"/>
    <w:rsid w:val="00AF2D06"/>
    <w:rsid w:val="00B375DE"/>
    <w:rsid w:val="00B80944"/>
    <w:rsid w:val="00BC3C14"/>
    <w:rsid w:val="00C04582"/>
    <w:rsid w:val="00CE1AD4"/>
    <w:rsid w:val="00CF0F61"/>
    <w:rsid w:val="00D248D6"/>
    <w:rsid w:val="00D26EAC"/>
    <w:rsid w:val="00D43BBC"/>
    <w:rsid w:val="00E2109B"/>
    <w:rsid w:val="00F05FA5"/>
    <w:rsid w:val="00F577C2"/>
    <w:rsid w:val="00FE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B87126-6BF9-4DF9-8557-D1DC5AFEF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rPr>
      <w:rFonts w:ascii="Times New Roman" w:hAnsi="Times New Roman"/>
      <w:sz w:val="28"/>
      <w:szCs w:val="22"/>
    </w:rPr>
  </w:style>
  <w:style w:type="paragraph" w:customStyle="1" w:styleId="ConsPlusNormal">
    <w:name w:val="ConsPlusNormal"/>
    <w:pPr>
      <w:autoSpaceDE w:val="0"/>
    </w:pPr>
    <w:rPr>
      <w:rFonts w:ascii="Arial" w:hAnsi="Arial" w:cs="Arial"/>
      <w:lang w:eastAsia="en-US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Segoe UI" w:hAnsi="Segoe UI"/>
      <w:sz w:val="18"/>
      <w:szCs w:val="18"/>
    </w:rPr>
  </w:style>
  <w:style w:type="paragraph" w:styleId="a6">
    <w:name w:val="Balloon Text"/>
    <w:basedOn w:val="a"/>
    <w:pPr>
      <w:spacing w:after="0" w:line="240" w:lineRule="auto"/>
    </w:pPr>
    <w:rPr>
      <w:rFonts w:ascii="Segoe UI" w:hAnsi="Segoe UI"/>
      <w:sz w:val="18"/>
      <w:szCs w:val="18"/>
    </w:rPr>
  </w:style>
  <w:style w:type="paragraph" w:styleId="a7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rPr>
      <w:sz w:val="22"/>
      <w:szCs w:val="22"/>
      <w:lang w:eastAsia="en-US"/>
    </w:rPr>
  </w:style>
  <w:style w:type="character" w:customStyle="1" w:styleId="a9">
    <w:name w:val="Нижний колонтитул Знак"/>
    <w:rPr>
      <w:sz w:val="22"/>
      <w:szCs w:val="22"/>
      <w:lang w:eastAsia="en-US"/>
    </w:rPr>
  </w:style>
  <w:style w:type="paragraph" w:styleId="aa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">
    <w:name w:val="Без интервала1"/>
    <w:rPr>
      <w:rFonts w:ascii="Times New Roman" w:hAnsi="Times New Roman"/>
      <w:sz w:val="28"/>
      <w:szCs w:val="22"/>
    </w:rPr>
  </w:style>
  <w:style w:type="character" w:styleId="ab">
    <w:name w:val="FollowedHyperlink"/>
    <w:rPr>
      <w:color w:val="800080"/>
      <w:u w:val="single"/>
    </w:rPr>
  </w:style>
  <w:style w:type="paragraph" w:customStyle="1" w:styleId="xl66">
    <w:name w:val="xl66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pPr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92D050"/>
      <w:spacing w:before="100" w:after="100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Гипертекстовая ссылка"/>
    <w:rPr>
      <w:color w:val="106BBE"/>
    </w:rPr>
  </w:style>
  <w:style w:type="character" w:styleId="ad">
    <w:name w:val="annotation reference"/>
    <w:rPr>
      <w:sz w:val="16"/>
      <w:szCs w:val="16"/>
    </w:rPr>
  </w:style>
  <w:style w:type="paragraph" w:styleId="ae">
    <w:name w:val="annotation text"/>
    <w:basedOn w:val="a"/>
    <w:rPr>
      <w:sz w:val="20"/>
      <w:szCs w:val="20"/>
    </w:rPr>
  </w:style>
  <w:style w:type="character" w:customStyle="1" w:styleId="af">
    <w:name w:val="Текст примечания Знак"/>
    <w:rPr>
      <w:lang w:eastAsia="en-US"/>
    </w:rPr>
  </w:style>
  <w:style w:type="paragraph" w:styleId="af0">
    <w:name w:val="annotation subject"/>
    <w:basedOn w:val="ae"/>
    <w:next w:val="ae"/>
    <w:rPr>
      <w:b/>
      <w:bCs/>
    </w:rPr>
  </w:style>
  <w:style w:type="character" w:customStyle="1" w:styleId="af1">
    <w:name w:val="Тема примечания Знак"/>
    <w:rPr>
      <w:b/>
      <w:bCs/>
      <w:lang w:eastAsia="en-US"/>
    </w:rPr>
  </w:style>
  <w:style w:type="paragraph" w:styleId="af2">
    <w:name w:val="Revision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9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4679E-38B5-4B46-B787-C2B94C920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14</Pages>
  <Words>2877</Words>
  <Characters>16403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Малышева Дарья Евгеньевна</cp:lastModifiedBy>
  <cp:revision>28</cp:revision>
  <cp:lastPrinted>2024-05-17T12:46:00Z</cp:lastPrinted>
  <dcterms:created xsi:type="dcterms:W3CDTF">2022-10-28T12:11:00Z</dcterms:created>
  <dcterms:modified xsi:type="dcterms:W3CDTF">2024-09-26T10:50:00Z</dcterms:modified>
</cp:coreProperties>
</file>